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75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CHAMAMENTO PÚBLICO</w:t>
      </w: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 Ministério Público Federal em Rondônia (MPF/RO) convida todas as pessoas e instituições interessadas a participar de </w:t>
      </w:r>
      <w:r>
        <w:rPr>
          <w:rFonts w:ascii="Arial" w:hAnsi="Arial" w:cs="Arial"/>
          <w:b/>
          <w:bCs/>
          <w:i/>
          <w:iCs/>
          <w:sz w:val="22"/>
          <w:szCs w:val="22"/>
        </w:rPr>
        <w:t>reunião no dia 16 de abril de 2013, às 09:00 horas, em sua sede em Porto Velho/RO, localizada na Avenida Abunã, nº 17</w:t>
      </w:r>
      <w:r>
        <w:rPr>
          <w:rFonts w:ascii="Arial" w:hAnsi="Arial" w:cs="Arial"/>
          <w:b/>
          <w:bCs/>
          <w:i/>
          <w:iCs/>
          <w:sz w:val="22"/>
          <w:szCs w:val="22"/>
        </w:rPr>
        <w:t>59, Bairro São João Bosco</w:t>
      </w:r>
      <w:r>
        <w:rPr>
          <w:rFonts w:ascii="Arial" w:hAnsi="Arial" w:cs="Arial"/>
          <w:i/>
          <w:iCs/>
          <w:sz w:val="22"/>
          <w:szCs w:val="22"/>
        </w:rPr>
        <w:t>, para tratar de assuntos de interesse do Povo Indígena Cinta Larga.</w:t>
      </w: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 Povo Cinta Larga tem sofrido bastante em razão da desenfreada exploração de recursos naturais (diamantes, madeira etc.) de suas terras. Os índios têm passado a</w:t>
      </w:r>
      <w:r>
        <w:rPr>
          <w:rFonts w:ascii="Arial" w:hAnsi="Arial" w:cs="Arial"/>
          <w:i/>
          <w:iCs/>
          <w:sz w:val="22"/>
          <w:szCs w:val="22"/>
        </w:rPr>
        <w:t>s maiores privações em seus mais elementares direitos (alimentação, moradia, educação, saúde, dignidade...).</w:t>
      </w: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 principal responsável por esse contexto tão desalentador é o Governo Federal, pela atuação pouco virtuosa no cumprimento de suas obrigações cons</w:t>
      </w:r>
      <w:r>
        <w:rPr>
          <w:rFonts w:ascii="Arial" w:hAnsi="Arial" w:cs="Arial"/>
          <w:i/>
          <w:iCs/>
          <w:sz w:val="22"/>
          <w:szCs w:val="22"/>
        </w:rPr>
        <w:t>titucionais e legais.</w:t>
      </w: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 reunião, assim, terá por propósito apresentar, mais detalhadamente, o quadro atual e pensar possíveis soluções para, ao menos, suavizar as mazelas impostas à comunidade Cinta Larga.</w:t>
      </w: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Desta forma, estão convidadas todas as pessoas, </w:t>
      </w:r>
      <w:r>
        <w:rPr>
          <w:rFonts w:ascii="Arial" w:hAnsi="Arial" w:cs="Arial"/>
          <w:i/>
          <w:iCs/>
          <w:sz w:val="22"/>
          <w:szCs w:val="22"/>
        </w:rPr>
        <w:t>autoridades públicas, professores, estudantes, representantes de entidades civis ou religiosas, enfim, toda e qualquer pessoa de bem que queira, de algum modo, ajudar o MPF/RO a cumprir o seu papel na defesa do Povo Cinta Larga.</w:t>
      </w: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D758E1">
      <w:pPr>
        <w:tabs>
          <w:tab w:val="left" w:pos="0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Os interessados </w:t>
      </w:r>
      <w:r>
        <w:rPr>
          <w:rFonts w:ascii="Arial" w:hAnsi="Arial" w:cs="Arial"/>
          <w:b/>
          <w:bCs/>
          <w:i/>
          <w:iCs/>
          <w:sz w:val="22"/>
          <w:szCs w:val="22"/>
        </w:rPr>
        <w:t>deverão co</w:t>
      </w:r>
      <w:r>
        <w:rPr>
          <w:rFonts w:ascii="Arial" w:hAnsi="Arial" w:cs="Arial"/>
          <w:b/>
          <w:bCs/>
          <w:i/>
          <w:iCs/>
          <w:sz w:val="22"/>
          <w:szCs w:val="22"/>
        </w:rPr>
        <w:t>nfirmar a presença até o dia 09 de abril de 2013</w:t>
      </w:r>
      <w:r>
        <w:rPr>
          <w:rFonts w:ascii="Arial" w:hAnsi="Arial" w:cs="Arial"/>
          <w:i/>
          <w:iCs/>
          <w:sz w:val="22"/>
          <w:szCs w:val="22"/>
        </w:rPr>
        <w:t xml:space="preserve">, através dos telefones (69)3216-0565 ou (69)3216-0530, por e-mail </w:t>
      </w:r>
      <w:r>
        <w:rPr>
          <w:rFonts w:ascii="Arial" w:hAnsi="Arial" w:cs="Arial"/>
          <w:i/>
          <w:iCs/>
          <w:color w:val="000000"/>
          <w:sz w:val="22"/>
          <w:szCs w:val="22"/>
        </w:rPr>
        <w:t>(contato@prro.mpf.gov.br), fax (69)3216-0584</w:t>
      </w:r>
      <w:r>
        <w:rPr>
          <w:rFonts w:ascii="Arial" w:hAnsi="Arial" w:cs="Arial"/>
          <w:i/>
          <w:iCs/>
          <w:sz w:val="22"/>
          <w:szCs w:val="22"/>
        </w:rPr>
        <w:t xml:space="preserve"> ou, pessoalmente, na sede do MPF/RO em Porto Velho/RO (endereço acima).</w:t>
      </w:r>
    </w:p>
    <w:p w:rsidR="00000000" w:rsidRDefault="00D758E1">
      <w:pPr>
        <w:spacing w:line="360" w:lineRule="auto"/>
        <w:ind w:firstLine="142"/>
        <w:jc w:val="center"/>
        <w:rPr>
          <w:rFonts w:ascii="Arial" w:hAnsi="Arial" w:cs="Arial"/>
          <w:sz w:val="22"/>
          <w:szCs w:val="22"/>
        </w:rPr>
      </w:pPr>
    </w:p>
    <w:p w:rsidR="00000000" w:rsidRDefault="00D758E1">
      <w:pPr>
        <w:spacing w:line="360" w:lineRule="auto"/>
        <w:ind w:firstLine="142"/>
        <w:jc w:val="center"/>
        <w:rPr>
          <w:rFonts w:ascii="Arial" w:hAnsi="Arial" w:cs="Arial"/>
          <w:sz w:val="22"/>
          <w:szCs w:val="22"/>
        </w:rPr>
      </w:pPr>
    </w:p>
    <w:p w:rsidR="00000000" w:rsidRDefault="00D758E1">
      <w:pPr>
        <w:spacing w:line="200" w:lineRule="atLeast"/>
        <w:ind w:firstLine="142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REGINALDO PEREIRA DA T</w:t>
      </w:r>
      <w:r>
        <w:rPr>
          <w:rFonts w:ascii="Arial" w:hAnsi="Arial" w:cs="Arial"/>
          <w:b/>
          <w:i/>
          <w:sz w:val="22"/>
          <w:szCs w:val="22"/>
        </w:rPr>
        <w:t>RINDADE</w:t>
      </w:r>
    </w:p>
    <w:p w:rsidR="00000000" w:rsidRDefault="00D758E1">
      <w:pPr>
        <w:spacing w:line="200" w:lineRule="atLeast"/>
        <w:ind w:firstLine="142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Procurador da República </w:t>
      </w:r>
    </w:p>
    <w:p w:rsidR="00D758E1" w:rsidRDefault="00D758E1">
      <w:pPr>
        <w:spacing w:line="200" w:lineRule="atLeast"/>
        <w:ind w:firstLine="142"/>
        <w:jc w:val="center"/>
      </w:pPr>
      <w:r>
        <w:rPr>
          <w:rFonts w:ascii="Arial" w:hAnsi="Arial" w:cs="Arial"/>
          <w:b/>
          <w:i/>
          <w:sz w:val="22"/>
          <w:szCs w:val="22"/>
        </w:rPr>
        <w:t>Responsável, no Estado de Rondônia, pela Defesa do Povo Cinta Larga</w:t>
      </w:r>
    </w:p>
    <w:sectPr w:rsidR="00D758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992" w:left="1985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E1" w:rsidRDefault="00D758E1">
      <w:r>
        <w:separator/>
      </w:r>
    </w:p>
  </w:endnote>
  <w:endnote w:type="continuationSeparator" w:id="0">
    <w:p w:rsidR="00D758E1" w:rsidRDefault="00D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58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58E1">
    <w:pPr>
      <w:pStyle w:val="Footer"/>
      <w:pBdr>
        <w:bottom w:val="single" w:sz="8" w:space="1" w:color="000000"/>
      </w:pBdr>
      <w:ind w:right="360"/>
      <w:jc w:val="center"/>
      <w:rPr>
        <w:rFonts w:ascii="Bookman Old Style" w:hAnsi="Bookman Old Style" w:cs="Bookman Old Style"/>
      </w:rPr>
    </w:pPr>
    <w:r>
      <w:pict>
        <v:rect id="_x0000_s1025" style="position:absolute;left:0;text-align:left;margin-left:413.4pt;margin-top:.05pt;width:14.9pt;height:10.1pt;z-index:251657728;mso-wrap-style:none;v-text-anchor:middle" strokeweight=".26mm">
          <v:fill color2="black"/>
          <v:stroke endcap="square"/>
          <w10:wrap type="square" side="largest"/>
        </v:rect>
      </w:pict>
    </w:r>
  </w:p>
  <w:p w:rsidR="00000000" w:rsidRDefault="00D758E1">
    <w:pPr>
      <w:pStyle w:val="Footer"/>
      <w:jc w:val="center"/>
      <w:rPr>
        <w:rFonts w:ascii="Bookman Old Style" w:hAnsi="Bookman Old Style" w:cs="Bookman Old Style"/>
      </w:rPr>
    </w:pPr>
  </w:p>
  <w:p w:rsidR="00000000" w:rsidRDefault="00D758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58E1">
    <w:pPr>
      <w:pStyle w:val="Footer"/>
      <w:pBdr>
        <w:bottom w:val="single" w:sz="8" w:space="1" w:color="000000"/>
      </w:pBdr>
      <w:jc w:val="center"/>
    </w:pPr>
  </w:p>
  <w:p w:rsidR="00000000" w:rsidRDefault="00D758E1">
    <w:pPr>
      <w:pStyle w:val="Footer"/>
      <w:jc w:val="center"/>
      <w:rPr>
        <w:rFonts w:ascii="Arial" w:hAnsi="Arial" w:cs="Arial"/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E1" w:rsidRDefault="00D758E1">
      <w:r>
        <w:separator/>
      </w:r>
    </w:p>
  </w:footnote>
  <w:footnote w:type="continuationSeparator" w:id="0">
    <w:p w:rsidR="00D758E1" w:rsidRDefault="00D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58E1">
    <w:pPr>
      <w:pBdr>
        <w:bottom w:val="single" w:sz="4" w:space="1" w:color="000000"/>
      </w:pBdr>
    </w:pPr>
    <w:r>
      <w:rPr>
        <w:rFonts w:ascii="Bookman Old Style" w:hAnsi="Bookman Old Style" w:cs="Bookman Old Style"/>
        <w:b/>
        <w:sz w:val="24"/>
      </w:rPr>
      <w:t>MINISTÉRIO PÚBLICO FEDERAL</w:t>
    </w:r>
  </w:p>
  <w:p w:rsidR="00000000" w:rsidRDefault="00D75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58E1">
    <w:pPr>
      <w:jc w:val="center"/>
      <w:rPr>
        <w:b/>
        <w:sz w:val="10"/>
      </w:rPr>
    </w:pPr>
    <w:r>
      <w:object w:dxaOrig="4020" w:dyaOrig="4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0.75pt" o:ole="" filled="t">
          <v:fill color2="black"/>
          <v:imagedata r:id="rId1" o:title=""/>
        </v:shape>
        <o:OLEObject Type="Embed" ProgID="Word.Document.8" ShapeID="_x0000_i1025" DrawAspect="Content" ObjectID="_1426600724" r:id="rId2"/>
      </w:object>
    </w:r>
  </w:p>
  <w:p w:rsidR="00000000" w:rsidRDefault="00D758E1">
    <w:pPr>
      <w:jc w:val="center"/>
      <w:rPr>
        <w:b/>
        <w:sz w:val="10"/>
      </w:rPr>
    </w:pPr>
  </w:p>
  <w:p w:rsidR="00000000" w:rsidRDefault="00D758E1">
    <w:pPr>
      <w:jc w:val="center"/>
      <w:rPr>
        <w:rFonts w:ascii="Bookman Old Style" w:hAnsi="Bookman Old Style" w:cs="Bookman Old Style"/>
        <w:i/>
        <w:smallCaps/>
        <w:sz w:val="24"/>
      </w:rPr>
    </w:pPr>
    <w:r>
      <w:rPr>
        <w:rFonts w:ascii="Bookman Old Style" w:hAnsi="Bookman Old Style" w:cs="Bookman Old Style"/>
        <w:b/>
        <w:sz w:val="24"/>
      </w:rPr>
      <w:t>MINISTÉRIO PÚBLICO FEDERAL</w:t>
    </w:r>
  </w:p>
  <w:p w:rsidR="00000000" w:rsidRDefault="00D758E1">
    <w:pPr>
      <w:pBdr>
        <w:bottom w:val="single" w:sz="4" w:space="1" w:color="000000"/>
      </w:pBdr>
      <w:jc w:val="center"/>
    </w:pPr>
    <w:r>
      <w:rPr>
        <w:rFonts w:ascii="Bookman Old Style" w:hAnsi="Bookman Old Style" w:cs="Bookman Old Style"/>
        <w:i/>
        <w:smallCaps/>
        <w:sz w:val="24"/>
      </w:rPr>
      <w:t>Procuradoria da República no Estado de Rondônia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5BB7"/>
    <w:rsid w:val="00685BB7"/>
    <w:rsid w:val="00D7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3686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686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26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">
    <w:name w:val="Fonte parág. padrã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4">
    <w:name w:val="Fonte parág. padrão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Fontepargpadro1">
    <w:name w:val="WW-Fonte parág. padrão1"/>
  </w:style>
  <w:style w:type="character" w:styleId="PageNumber">
    <w:name w:val="page number"/>
    <w:basedOn w:val="WW-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CaracteresdeNotadeFim">
    <w:name w:val=" 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WW-Refdenotaderodap">
    <w:name w:val="WW-Ref. de nota de rodapé"/>
    <w:rPr>
      <w:vertAlign w:val="superscript"/>
    </w:rPr>
  </w:style>
  <w:style w:type="character" w:customStyle="1" w:styleId="WW-Refdenotadefim">
    <w:name w:val="WW-Ref. de nota de fim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styleId="Strong">
    <w:name w:val="Strong"/>
    <w:qFormat/>
    <w:rPr>
      <w:b/>
      <w:bCs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0">
    <w:name w:val="Caracteres de nota de fim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4"/>
    </w:rPr>
  </w:style>
  <w:style w:type="paragraph" w:styleId="List">
    <w:name w:val="List"/>
    <w:basedOn w:val="BodyText"/>
    <w:rPr>
      <w:rFonts w:cs="Tahoma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pPr>
      <w:ind w:firstLine="3686"/>
      <w:jc w:val="both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pPr>
      <w:spacing w:before="120" w:after="120" w:line="360" w:lineRule="auto"/>
      <w:ind w:firstLine="2268"/>
      <w:jc w:val="both"/>
    </w:pPr>
    <w:rPr>
      <w:sz w:val="26"/>
    </w:rPr>
  </w:style>
  <w:style w:type="paragraph" w:customStyle="1" w:styleId="Corpodetexto21">
    <w:name w:val="Corpo de texto 21"/>
    <w:basedOn w:val="Normal"/>
    <w:pPr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3960"/>
      <w:jc w:val="both"/>
    </w:pPr>
    <w:rPr>
      <w:sz w:val="36"/>
    </w:rPr>
  </w:style>
  <w:style w:type="paragraph" w:styleId="FootnoteText">
    <w:name w:val="footnote text"/>
    <w:basedOn w:val="Normal"/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bCs/>
      <w:i/>
      <w:iCs/>
    </w:rPr>
  </w:style>
  <w:style w:type="paragraph" w:customStyle="1" w:styleId="Contedodoquadro">
    <w:name w:val="Conteúdo do quadro"/>
    <w:basedOn w:val="BodyText"/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Style0">
    <w:name w:val="Style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tedodequadro">
    <w:name w:val="Conteúdo de quadro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1382</Characters>
  <Application>Microsoft Office Word</Application>
  <DocSecurity>0</DocSecurity>
  <Lines>11</Lines>
  <Paragraphs>3</Paragraphs>
  <ScaleCrop>false</ScaleCrop>
  <Company>Organisation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JUIZ FEDERAL DO JUIZADO ESPECIAL FEDERAL</dc:title>
  <dc:creator>mpf</dc:creator>
  <cp:lastModifiedBy>melanie</cp:lastModifiedBy>
  <cp:revision>2</cp:revision>
  <cp:lastPrinted>2008-07-21T16:32:00Z</cp:lastPrinted>
  <dcterms:created xsi:type="dcterms:W3CDTF">2013-04-04T16:12:00Z</dcterms:created>
  <dcterms:modified xsi:type="dcterms:W3CDTF">2013-04-04T16:12:00Z</dcterms:modified>
</cp:coreProperties>
</file>